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Администрация</w:t>
      </w:r>
      <w:r w:rsidR="001B64EE" w:rsidRPr="001B64E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gramStart"/>
      <w:r w:rsidR="001B64EE"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>C</w:t>
      </w:r>
      <w:proofErr w:type="spellStart"/>
      <w:proofErr w:type="gramEnd"/>
      <w:r w:rsidR="001B64E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сельского поселения</w:t>
      </w: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Большеигнатовского</w:t>
      </w:r>
      <w:proofErr w:type="spellEnd"/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муниципального района Республики  Мордовия</w:t>
      </w:r>
    </w:p>
    <w:p w:rsidR="009374CD" w:rsidRDefault="009374CD" w:rsidP="009374CD">
      <w:pPr>
        <w:pStyle w:val="2"/>
        <w:rPr>
          <w:color w:val="000000" w:themeColor="text1"/>
          <w:szCs w:val="28"/>
        </w:rPr>
      </w:pPr>
    </w:p>
    <w:p w:rsidR="00280C2D" w:rsidRPr="00013E6E" w:rsidRDefault="00280C2D" w:rsidP="009374CD">
      <w:pPr>
        <w:pStyle w:val="2"/>
        <w:rPr>
          <w:color w:val="000000" w:themeColor="text1"/>
          <w:szCs w:val="28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9374CD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 </w:t>
      </w:r>
      <w:r w:rsidR="001D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01</w:t>
      </w:r>
      <w:r w:rsidR="00E80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ноября </w:t>
      </w:r>
      <w:r w:rsidR="0094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14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№</w:t>
      </w:r>
      <w:r w:rsidR="001D4B9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69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34F3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934F3A">
        <w:rPr>
          <w:rFonts w:ascii="Times New Roman" w:hAnsi="Times New Roman" w:cs="Times New Roman"/>
          <w:color w:val="000000" w:themeColor="text1"/>
        </w:rPr>
        <w:t xml:space="preserve">. </w:t>
      </w:r>
      <w:r w:rsidR="001B64EE">
        <w:rPr>
          <w:rFonts w:ascii="Times New Roman" w:hAnsi="Times New Roman" w:cs="Times New Roman"/>
          <w:color w:val="000000" w:themeColor="text1"/>
        </w:rPr>
        <w:t xml:space="preserve">Старое </w:t>
      </w:r>
      <w:proofErr w:type="spellStart"/>
      <w:r w:rsidR="001B64EE">
        <w:rPr>
          <w:rFonts w:ascii="Times New Roman" w:hAnsi="Times New Roman" w:cs="Times New Roman"/>
          <w:color w:val="000000" w:themeColor="text1"/>
        </w:rPr>
        <w:t>Чамзино</w:t>
      </w:r>
      <w:proofErr w:type="spellEnd"/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F6" w:rsidRDefault="00E678F6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о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9374CD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E678F6" w:rsidRDefault="009374CD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налоговой политики </w:t>
      </w:r>
      <w:proofErr w:type="spellStart"/>
      <w:r w:rsidR="001B6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Старочамзинского</w:t>
      </w:r>
      <w:proofErr w:type="spellEnd"/>
      <w:r w:rsidR="001B6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</w:p>
    <w:p w:rsid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</w:p>
    <w:p w:rsidR="00A96BF9" w:rsidRP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3014A8" w:rsidRDefault="00A96BF9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8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5F732F" w:rsidRPr="005F732F">
        <w:rPr>
          <w:spacing w:val="1"/>
          <w:sz w:val="28"/>
          <w:szCs w:val="28"/>
        </w:rPr>
        <w:t>  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>дминистрация</w:t>
      </w:r>
      <w:r w:rsidR="001B64EE">
        <w:rPr>
          <w:spacing w:val="1"/>
          <w:sz w:val="28"/>
          <w:szCs w:val="28"/>
        </w:rPr>
        <w:t xml:space="preserve"> </w:t>
      </w:r>
      <w:proofErr w:type="spellStart"/>
      <w:r w:rsidR="001B64EE">
        <w:rPr>
          <w:spacing w:val="1"/>
          <w:sz w:val="28"/>
          <w:szCs w:val="28"/>
        </w:rPr>
        <w:t>Старочамзинского</w:t>
      </w:r>
      <w:proofErr w:type="spellEnd"/>
      <w:r w:rsidR="001B64EE">
        <w:rPr>
          <w:spacing w:val="1"/>
          <w:sz w:val="28"/>
          <w:szCs w:val="28"/>
        </w:rPr>
        <w:t xml:space="preserve"> сельского поселения </w:t>
      </w:r>
      <w:r w:rsidR="009374CD">
        <w:rPr>
          <w:spacing w:val="1"/>
          <w:sz w:val="28"/>
          <w:szCs w:val="28"/>
        </w:rPr>
        <w:t xml:space="preserve">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Республики Мордовия</w:t>
      </w:r>
    </w:p>
    <w:p w:rsidR="005F732F" w:rsidRP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proofErr w:type="gramStart"/>
      <w:r w:rsidRPr="005F732F">
        <w:rPr>
          <w:b/>
          <w:spacing w:val="1"/>
          <w:sz w:val="28"/>
          <w:szCs w:val="28"/>
        </w:rPr>
        <w:t>п</w:t>
      </w:r>
      <w:proofErr w:type="gramEnd"/>
      <w:r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</w:t>
      </w:r>
      <w:r w:rsidR="00E678F6">
        <w:rPr>
          <w:spacing w:val="1"/>
          <w:sz w:val="28"/>
          <w:szCs w:val="28"/>
        </w:rPr>
        <w:t>о</w:t>
      </w:r>
      <w:r w:rsidRPr="005F732F">
        <w:rPr>
          <w:spacing w:val="1"/>
          <w:sz w:val="28"/>
          <w:szCs w:val="28"/>
        </w:rPr>
        <w:t>сновные направления бюджетной и налоговой политики</w:t>
      </w:r>
      <w:r w:rsidR="001B64EE">
        <w:rPr>
          <w:spacing w:val="1"/>
          <w:sz w:val="28"/>
          <w:szCs w:val="28"/>
        </w:rPr>
        <w:t xml:space="preserve"> </w:t>
      </w:r>
      <w:proofErr w:type="spellStart"/>
      <w:r w:rsidR="001B64EE">
        <w:rPr>
          <w:spacing w:val="1"/>
          <w:sz w:val="28"/>
          <w:szCs w:val="28"/>
        </w:rPr>
        <w:t>Старочамзинского</w:t>
      </w:r>
      <w:proofErr w:type="spellEnd"/>
      <w:r w:rsidR="001B64EE">
        <w:rPr>
          <w:spacing w:val="1"/>
          <w:sz w:val="28"/>
          <w:szCs w:val="28"/>
        </w:rPr>
        <w:t xml:space="preserve"> сельского поселения</w:t>
      </w:r>
      <w:r w:rsidRPr="005F732F">
        <w:rPr>
          <w:spacing w:val="1"/>
          <w:sz w:val="28"/>
          <w:szCs w:val="28"/>
        </w:rPr>
        <w:t xml:space="preserve">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на 202</w:t>
      </w:r>
      <w:r w:rsidR="003014A8">
        <w:rPr>
          <w:spacing w:val="1"/>
          <w:sz w:val="28"/>
          <w:szCs w:val="28"/>
        </w:rPr>
        <w:t>5</w:t>
      </w:r>
      <w:r w:rsidRPr="005F732F">
        <w:rPr>
          <w:spacing w:val="1"/>
          <w:sz w:val="28"/>
          <w:szCs w:val="28"/>
        </w:rPr>
        <w:t xml:space="preserve"> год и на плановый период 202</w:t>
      </w:r>
      <w:r w:rsidR="003014A8">
        <w:rPr>
          <w:spacing w:val="1"/>
          <w:sz w:val="28"/>
          <w:szCs w:val="28"/>
        </w:rPr>
        <w:t>6</w:t>
      </w:r>
      <w:r w:rsidRPr="005F732F">
        <w:rPr>
          <w:spacing w:val="1"/>
          <w:sz w:val="28"/>
          <w:szCs w:val="28"/>
        </w:rPr>
        <w:t xml:space="preserve"> и 202</w:t>
      </w:r>
      <w:r w:rsidR="003014A8">
        <w:rPr>
          <w:spacing w:val="1"/>
          <w:sz w:val="28"/>
          <w:szCs w:val="28"/>
        </w:rPr>
        <w:t>7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Default="00280C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</w:t>
      </w:r>
      <w:r w:rsidR="00E80889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1B64EE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</w:t>
      </w:r>
      <w:proofErr w:type="spellStart"/>
      <w:r w:rsidR="001B64EE">
        <w:rPr>
          <w:spacing w:val="1"/>
          <w:sz w:val="28"/>
          <w:szCs w:val="28"/>
        </w:rPr>
        <w:t>Старочамзинского</w:t>
      </w:r>
      <w:proofErr w:type="spellEnd"/>
      <w:r w:rsidR="001B64EE">
        <w:rPr>
          <w:spacing w:val="1"/>
          <w:sz w:val="28"/>
          <w:szCs w:val="28"/>
        </w:rPr>
        <w:t xml:space="preserve"> сельского поселения</w:t>
      </w:r>
      <w:r>
        <w:rPr>
          <w:spacing w:val="1"/>
          <w:sz w:val="28"/>
          <w:szCs w:val="28"/>
        </w:rPr>
        <w:t xml:space="preserve">                       </w:t>
      </w:r>
      <w:proofErr w:type="spellStart"/>
      <w:r w:rsidR="001B64EE">
        <w:rPr>
          <w:spacing w:val="1"/>
          <w:sz w:val="28"/>
          <w:szCs w:val="28"/>
        </w:rPr>
        <w:t>Н.В.Зайкина</w:t>
      </w:r>
      <w:proofErr w:type="spellEnd"/>
    </w:p>
    <w:p w:rsidR="001364F5" w:rsidRDefault="001364F5" w:rsidP="001B64EE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B64EE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678F6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Утвержденные</w:t>
      </w:r>
    </w:p>
    <w:p w:rsidR="001B64EE" w:rsidRDefault="00876934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9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5F732F" w:rsidRPr="00320B8C" w:rsidRDefault="001B64EE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4F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5F732F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E80889">
        <w:rPr>
          <w:rFonts w:ascii="Times New Roman" w:hAnsi="Times New Roman" w:cs="Times New Roman"/>
          <w:sz w:val="24"/>
          <w:szCs w:val="24"/>
        </w:rPr>
        <w:t xml:space="preserve"> </w:t>
      </w:r>
      <w:r w:rsidR="001D4B9B">
        <w:rPr>
          <w:rFonts w:ascii="Times New Roman" w:hAnsi="Times New Roman" w:cs="Times New Roman"/>
          <w:sz w:val="24"/>
          <w:szCs w:val="24"/>
        </w:rPr>
        <w:t>01.11.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3014A8">
        <w:rPr>
          <w:rFonts w:ascii="Times New Roman" w:hAnsi="Times New Roman" w:cs="Times New Roman"/>
          <w:sz w:val="24"/>
          <w:szCs w:val="24"/>
        </w:rPr>
        <w:t>4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>№</w:t>
      </w:r>
      <w:r w:rsidR="001D4B9B">
        <w:rPr>
          <w:rFonts w:ascii="Times New Roman" w:hAnsi="Times New Roman" w:cs="Times New Roman"/>
          <w:sz w:val="24"/>
          <w:szCs w:val="24"/>
        </w:rPr>
        <w:t>8</w:t>
      </w:r>
      <w:r w:rsidR="0087693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20B8C" w:rsidRPr="00320B8C">
        <w:rPr>
          <w:rFonts w:ascii="Times New Roman" w:hAnsi="Times New Roman" w:cs="Times New Roman"/>
          <w:sz w:val="24"/>
          <w:szCs w:val="24"/>
        </w:rPr>
        <w:t xml:space="preserve"> </w:t>
      </w:r>
      <w:r w:rsidR="00941F88">
        <w:rPr>
          <w:rFonts w:ascii="Times New Roman" w:hAnsi="Times New Roman" w:cs="Times New Roman"/>
          <w:sz w:val="24"/>
          <w:szCs w:val="24"/>
        </w:rPr>
        <w:t xml:space="preserve">     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утверждении основных направлений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бюджетной</w:t>
      </w:r>
      <w:proofErr w:type="gramEnd"/>
    </w:p>
    <w:p w:rsidR="001B64EE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налоговой политики</w:t>
      </w:r>
    </w:p>
    <w:p w:rsidR="001B64EE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B64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Старочамзинского</w:t>
      </w:r>
      <w:proofErr w:type="spellEnd"/>
      <w:r w:rsidR="001B64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 поселения 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Большеигнатовского</w:t>
      </w:r>
      <w:proofErr w:type="spellEnd"/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proofErr w:type="gramEnd"/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годов»</w:t>
      </w:r>
    </w:p>
    <w:p w:rsidR="005F732F" w:rsidRPr="00320B8C" w:rsidRDefault="005F732F" w:rsidP="00E678F6">
      <w:pPr>
        <w:pStyle w:val="formattext"/>
        <w:shd w:val="clear" w:color="auto" w:fill="FFFFFF"/>
        <w:spacing w:before="0" w:beforeAutospacing="0" w:after="0" w:afterAutospacing="0" w:line="252" w:lineRule="atLeast"/>
        <w:ind w:left="4253"/>
        <w:jc w:val="right"/>
        <w:textAlignment w:val="baseline"/>
        <w:rPr>
          <w:spacing w:val="1"/>
        </w:rPr>
      </w:pPr>
    </w:p>
    <w:p w:rsidR="00F90D45" w:rsidRDefault="00A96BF9" w:rsidP="00F90D45">
      <w:pPr>
        <w:jc w:val="center"/>
        <w:outlineLvl w:val="0"/>
        <w:rPr>
          <w:sz w:val="28"/>
          <w:szCs w:val="28"/>
        </w:rPr>
      </w:pPr>
      <w:r w:rsidRPr="00A96BF9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</w:p>
    <w:p w:rsidR="005646F1" w:rsidRPr="005646F1" w:rsidRDefault="005646F1" w:rsidP="005646F1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5646F1">
        <w:rPr>
          <w:rFonts w:ascii="Times New Roman" w:hAnsi="Times New Roman" w:cs="Times New Roman"/>
          <w:b w:val="0"/>
          <w:color w:val="000000" w:themeColor="text1"/>
        </w:rPr>
        <w:t>Основные направления</w:t>
      </w:r>
      <w:r w:rsidRPr="005646F1">
        <w:rPr>
          <w:rFonts w:ascii="Times New Roman" w:hAnsi="Times New Roman" w:cs="Times New Roman"/>
          <w:b w:val="0"/>
          <w:color w:val="000000" w:themeColor="text1"/>
        </w:rPr>
        <w:br/>
        <w:t>бюджетной и налоговой политики</w:t>
      </w:r>
      <w:r w:rsidR="001B64E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 w:val="0"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 w:val="0"/>
          <w:color w:val="000000" w:themeColor="text1"/>
        </w:rPr>
        <w:t xml:space="preserve"> сельского поселения </w:t>
      </w:r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b w:val="0"/>
          <w:color w:val="000000" w:themeColor="text1"/>
        </w:rPr>
        <w:t>5 год и на плановый период 2026</w:t>
      </w:r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 и 202</w:t>
      </w:r>
      <w:r w:rsidR="003014A8">
        <w:rPr>
          <w:rFonts w:ascii="Times New Roman" w:hAnsi="Times New Roman" w:cs="Times New Roman"/>
          <w:b w:val="0"/>
          <w:color w:val="000000" w:themeColor="text1"/>
        </w:rPr>
        <w:t>7</w:t>
      </w:r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proofErr w:type="spellStart"/>
      <w:r w:rsidR="001B64EE">
        <w:rPr>
          <w:rFonts w:ascii="Times New Roman" w:hAnsi="Times New Roman" w:cs="Times New Roman"/>
          <w:b w:val="0"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 w:val="0"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 муниципального района Республики Мордовия в предшествующий период</w:t>
      </w:r>
      <w:proofErr w:type="gramEnd"/>
    </w:p>
    <w:p w:rsidR="005646F1" w:rsidRPr="005646F1" w:rsidRDefault="005646F1" w:rsidP="005646F1">
      <w:pPr>
        <w:rPr>
          <w:rFonts w:ascii="Times New Roman" w:hAnsi="Times New Roman" w:cs="Times New Roman"/>
          <w:sz w:val="28"/>
          <w:szCs w:val="28"/>
        </w:rPr>
      </w:pPr>
    </w:p>
    <w:p w:rsidR="00E80889" w:rsidRPr="000630CA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Целью Основных направлений бюджетной и налоговой политики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 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 xml:space="preserve"> годов является определение условий, используемых при </w:t>
      </w:r>
      <w:r w:rsidRPr="005646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</w:t>
      </w:r>
      <w:r w:rsidR="003014A8">
        <w:rPr>
          <w:rFonts w:ascii="Times New Roman" w:hAnsi="Times New Roman" w:cs="Times New Roman"/>
          <w:sz w:val="28"/>
          <w:szCs w:val="28"/>
        </w:rPr>
        <w:t>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годов, подходов к его формированию, основных характеристик 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- 202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годов.</w:t>
      </w:r>
    </w:p>
    <w:p w:rsidR="00E5533C" w:rsidRPr="000630CA" w:rsidRDefault="00E5533C" w:rsidP="00A96BF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3014A8" w:rsidP="003014A8">
      <w:pPr>
        <w:widowControl w:val="0"/>
        <w:autoSpaceDE w:val="0"/>
        <w:autoSpaceDN w:val="0"/>
        <w:spacing w:after="0" w:line="250" w:lineRule="exact"/>
        <w:ind w:right="628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бюджетной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5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1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lastRenderedPageBreak/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сохранит преемственность бюджетной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политики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предыдущих периодов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 ориентирована в первую очередь на реализацию мер по обеспечению устойчивости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сбалансированности бюджетной системы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района, рациональное и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эффективное</w:t>
      </w:r>
      <w:proofErr w:type="gram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имеющихся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7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       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В предстоящем периоде основными направлениями бюджетной политики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являются:</w:t>
      </w:r>
    </w:p>
    <w:p w:rsidR="003014A8" w:rsidRDefault="003014A8" w:rsidP="003014A8">
      <w:pPr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устойчивости,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самостоятельности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за счет:</w:t>
      </w:r>
    </w:p>
    <w:p w:rsidR="003014A8" w:rsidRPr="003014A8" w:rsidRDefault="003014A8" w:rsidP="003014A8">
      <w:pPr>
        <w:widowControl w:val="0"/>
        <w:tabs>
          <w:tab w:val="left" w:pos="0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расширения</w:t>
      </w:r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52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минимизации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рисков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несбалан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сированности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внешнего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санкционного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давления;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приоритизации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расходов исходя из необходимости достижения национальных целей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формирования бюджетных параметров исходя из необходимости исполнения в полном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объеме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действующих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 принятия новых расходных обязательств с учетом их социально-экономической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значимости и обеспеченности источниками финансирования, ограничения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непервоочередных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(необязательных)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расходов;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2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дебиторской и кредиторской задолженности и проведения мероприятий по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недопущению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возникновения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роста;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управления бюджетными ресурсами, в том числе за 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мероприятий: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региональных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внебюджетных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источников,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первую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наиболее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софинансирования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стратегической и операционной эффективности бюджетных расходов путем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 совершенствования нормативных правовых актов и методической базы в сфере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разработки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программ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4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-6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системного</w:t>
      </w:r>
      <w:r w:rsidR="003014A8" w:rsidRPr="003014A8">
        <w:rPr>
          <w:rFonts w:ascii="Times New Roman" w:eastAsia="Microsoft Sans Serif" w:hAnsi="Times New Roman" w:cs="Times New Roman"/>
          <w:spacing w:val="-5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ценностей, принципов и инструментов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бережливого управления;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направление</w:t>
      </w:r>
      <w:r w:rsidR="003014A8" w:rsidRPr="003014A8">
        <w:rPr>
          <w:rFonts w:ascii="Times New Roman" w:eastAsia="Microsoft Sans Serif" w:hAnsi="Times New Roman" w:cs="Times New Roman"/>
          <w:spacing w:val="-1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инвестиционных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первую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завершение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переходящим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объектам строительства, реконструкции, капитального ремонта муниципальной собственности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proofErr w:type="spellEnd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 района Республики Мордовия, усиление контроля за сроками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качеством разрабатываемой проектно-сметной документации и выполнением 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proofErr w:type="gramEnd"/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безусловным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применением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законодательно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установленных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штрафных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санкций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неисполнение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условий;</w:t>
      </w:r>
    </w:p>
    <w:p w:rsidR="003014A8" w:rsidRPr="003014A8" w:rsidRDefault="00CB4040" w:rsidP="003014A8">
      <w:pPr>
        <w:widowControl w:val="0"/>
        <w:autoSpaceDE w:val="0"/>
        <w:autoSpaceDN w:val="0"/>
        <w:spacing w:before="7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повышение эффективности процессов планирования и исполнения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B6458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Мордовия, в том числе за счет проведения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качества финансового менеджмента, совершенствования системы обоснования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ассигнований,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казначейского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обслуживания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B6458">
        <w:rPr>
          <w:rFonts w:ascii="Times New Roman" w:eastAsia="Microsoft Sans Serif" w:hAnsi="Times New Roman" w:cs="Times New Roman"/>
          <w:spacing w:val="-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совершенствование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централизации.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конкурентными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способами,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обеспечивающими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наименьшие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затраты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сохранении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характеристик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приобретаемых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заключения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(контрактов,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недобросовестными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поставщиками (подрядчиками,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исполнителями);</w:t>
      </w:r>
    </w:p>
    <w:p w:rsidR="003014A8" w:rsidRPr="003014A8" w:rsidRDefault="009B6458" w:rsidP="003014A8">
      <w:pPr>
        <w:widowControl w:val="0"/>
        <w:autoSpaceDE w:val="0"/>
        <w:autoSpaceDN w:val="0"/>
        <w:spacing w:before="8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высвобождение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 недостаточно эффективно используемых бюджетных средств,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перенаправления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задач,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перераспределение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экономии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бюджетных средств, образовавшейся при заключении муниципальных контрактов (контрактов,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договоров);</w:t>
      </w:r>
    </w:p>
    <w:p w:rsidR="003014A8" w:rsidRPr="001B64EE" w:rsidRDefault="009B645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color w:val="FF0000"/>
          <w:sz w:val="28"/>
          <w:szCs w:val="28"/>
        </w:rPr>
      </w:pPr>
      <w:r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lastRenderedPageBreak/>
        <w:t>-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осуществление внутреннего муниципального финансового контроля в соответствии с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федеральными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стандартами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внутреннего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государственного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(муниципального)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финансового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контроля, утвержденными Правительством Российской Федерации;</w:t>
      </w:r>
    </w:p>
    <w:p w:rsidR="003014A8" w:rsidRPr="001B64EE" w:rsidRDefault="009B6458" w:rsidP="009B645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color w:val="FF0000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усиление</w:t>
      </w:r>
      <w:r w:rsidR="003014A8" w:rsidRPr="003014A8">
        <w:rPr>
          <w:rFonts w:ascii="Times New Roman" w:eastAsia="Microsoft Sans Serif" w:hAnsi="Times New Roman" w:cs="Times New Roman"/>
          <w:spacing w:val="107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контроля  </w:t>
      </w:r>
      <w:r w:rsidR="003014A8" w:rsidRPr="003014A8">
        <w:rPr>
          <w:rFonts w:ascii="Times New Roman" w:eastAsia="Microsoft Sans Serif" w:hAnsi="Times New Roman" w:cs="Times New Roman"/>
          <w:spacing w:val="4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эффективностью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использования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бюджетных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средств  </w:t>
      </w:r>
      <w:r w:rsidR="003014A8" w:rsidRPr="003014A8">
        <w:rPr>
          <w:rFonts w:ascii="Times New Roman" w:eastAsia="Microsoft Sans Serif" w:hAnsi="Times New Roman" w:cs="Times New Roman"/>
          <w:spacing w:val="4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м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имущества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достоверностью отчетности о результатах реализации муниципальных программ 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выполнением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муниципального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задания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муниципальными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учреждениями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 xml:space="preserve"> </w:t>
      </w:r>
      <w:proofErr w:type="spellStart"/>
      <w:r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>Большеигнатовского</w:t>
      </w:r>
      <w:proofErr w:type="spellEnd"/>
      <w:r w:rsidRPr="001B64EE">
        <w:rPr>
          <w:rFonts w:ascii="Times New Roman" w:eastAsia="Microsoft Sans Serif" w:hAnsi="Times New Roman" w:cs="Times New Roman"/>
          <w:color w:val="FF0000"/>
          <w:spacing w:val="-1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-56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муниципального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района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Республики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2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 прозрачности и открытости муниципальных финансов, в том числе за счет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публикации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официальных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сайтах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страницах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актуальной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связанной с формированием и исполнением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Мордовия, повышение качества "Бюджета для граждан", представление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актуализация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материалов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3014A8"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едином</w:t>
        </w:r>
        <w:r w:rsidR="003014A8" w:rsidRPr="003014A8">
          <w:rPr>
            <w:rFonts w:ascii="Times New Roman" w:eastAsia="Microsoft Sans Serif" w:hAnsi="Times New Roman" w:cs="Times New Roman"/>
            <w:color w:val="0F6BBF"/>
            <w:spacing w:val="1"/>
            <w:sz w:val="28"/>
            <w:szCs w:val="28"/>
          </w:rPr>
          <w:t xml:space="preserve"> </w:t>
        </w:r>
        <w:r w:rsidR="003014A8"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портале</w:t>
        </w:r>
      </w:hyperlink>
      <w:r w:rsidR="003014A8"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1" w:history="1">
        <w:r w:rsidR="003014A8"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официальном</w:t>
        </w:r>
        <w:r w:rsidR="003014A8" w:rsidRPr="003014A8">
          <w:rPr>
            <w:rFonts w:ascii="Times New Roman" w:eastAsia="Microsoft Sans Serif" w:hAnsi="Times New Roman" w:cs="Times New Roman"/>
            <w:color w:val="0F6BBF"/>
            <w:spacing w:val="1"/>
            <w:sz w:val="28"/>
            <w:szCs w:val="28"/>
          </w:rPr>
          <w:t xml:space="preserve"> </w:t>
        </w:r>
        <w:r w:rsidR="003014A8"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сайте</w:t>
        </w:r>
      </w:hyperlink>
      <w:r w:rsidR="003014A8"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размещения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proofErr w:type="gram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учреждений;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spacing w:before="7" w:after="0" w:line="240" w:lineRule="auto"/>
        <w:ind w:left="100" w:right="318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взаимоотношений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республиканским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бюджетом и бюджет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>ом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="009B6458"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(далее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местный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бюджет),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proofErr w:type="gramEnd"/>
      <w:r w:rsidRPr="003014A8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3014A8" w:rsidRPr="003014A8" w:rsidRDefault="009B645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показателей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соглашениями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оздоровлению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5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активное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участие</w:t>
      </w:r>
      <w:r w:rsidR="001B64EE" w:rsidRPr="001B64E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64EE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1B64EE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1B64EE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проектов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государственных программ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2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содействие в обеспечении сбалансированности и финансовой устойчивости местных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стимулов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наращивания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управления муниципальными финансами, снижение рисков неисполнения первоочередных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социально-значимых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обязательств;</w:t>
      </w:r>
    </w:p>
    <w:p w:rsidR="003014A8" w:rsidRPr="003014A8" w:rsidRDefault="003014A8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мер,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направленных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оптимизацию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1B64EE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бюджетов,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ограничение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дефицита;</w:t>
      </w:r>
    </w:p>
    <w:p w:rsidR="003014A8" w:rsidRPr="001B64EE" w:rsidRDefault="00B71A7C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color w:val="FF0000"/>
          <w:sz w:val="28"/>
          <w:szCs w:val="28"/>
        </w:rPr>
      </w:pPr>
      <w:r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-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формирование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предсказуемых,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прозрачных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комфортных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условий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предоставления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финансовой помощи из районного бюджета </w:t>
      </w:r>
      <w:proofErr w:type="spellStart"/>
      <w:r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Большеигнатовского</w:t>
      </w:r>
      <w:proofErr w:type="spellEnd"/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 муниципального района Республики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Мордовия, своевременного ее доведения до сельских поселений </w:t>
      </w:r>
      <w:proofErr w:type="spellStart"/>
      <w:r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Большеигнатовского</w:t>
      </w:r>
      <w:proofErr w:type="spellEnd"/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lastRenderedPageBreak/>
        <w:t>муниципального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района Республики Мордовия, а также </w:t>
      </w:r>
      <w:proofErr w:type="gramStart"/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контроля за</w:t>
      </w:r>
      <w:proofErr w:type="gramEnd"/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 эффективным расходованием целевых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межбюджетных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трансфертов;</w:t>
      </w:r>
    </w:p>
    <w:p w:rsidR="003014A8" w:rsidRPr="001B64EE" w:rsidRDefault="00B71A7C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color w:val="FF0000"/>
          <w:sz w:val="28"/>
          <w:szCs w:val="28"/>
        </w:rPr>
      </w:pPr>
      <w:r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-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создание механизмов, позволяющих при предоставлении межбюджетных трансфертов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усилить выравнивающий эффект, увеличить объемы дотаций на выравнивание бюджетной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обеспеченности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с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одновременным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сокращением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количества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объема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предоставляемых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целевых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межбюджетных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трансфертов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увеличить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объем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трансфертов,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распределяемых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решением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Совета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депутатов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>Большеигнатовского</w:t>
      </w:r>
      <w:proofErr w:type="spellEnd"/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муниципального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района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Республики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Мордовия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о</w:t>
      </w:r>
      <w:r w:rsidR="003014A8" w:rsidRPr="001B64EE">
        <w:rPr>
          <w:rFonts w:ascii="Times New Roman" w:eastAsia="Microsoft Sans Serif" w:hAnsi="Times New Roman" w:cs="Times New Roman"/>
          <w:color w:val="FF0000"/>
          <w:spacing w:val="1"/>
          <w:sz w:val="28"/>
          <w:szCs w:val="28"/>
        </w:rPr>
        <w:t xml:space="preserve"> </w:t>
      </w:r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бюджете </w:t>
      </w:r>
      <w:proofErr w:type="spellStart"/>
      <w:r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>Большеигнатовского</w:t>
      </w:r>
      <w:proofErr w:type="spellEnd"/>
      <w:r w:rsidR="003014A8" w:rsidRPr="001B64EE">
        <w:rPr>
          <w:rFonts w:ascii="Times New Roman" w:eastAsia="Microsoft Sans Serif" w:hAnsi="Times New Roman" w:cs="Times New Roman"/>
          <w:color w:val="FF0000"/>
          <w:sz w:val="28"/>
          <w:szCs w:val="28"/>
        </w:rPr>
        <w:t xml:space="preserve"> муниципального района Республики Мордовия;</w:t>
      </w:r>
    </w:p>
    <w:p w:rsidR="003014A8" w:rsidRPr="003014A8" w:rsidRDefault="00B71A7C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укреплению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2F294A" w:rsidRPr="002F294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требований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2" w:history="1">
        <w:r w:rsidR="003014A8"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бюджетного</w:t>
        </w:r>
        <w:r w:rsidR="003014A8" w:rsidRPr="003014A8">
          <w:rPr>
            <w:rFonts w:ascii="Times New Roman" w:eastAsia="Microsoft Sans Serif" w:hAnsi="Times New Roman" w:cs="Times New Roman"/>
            <w:color w:val="0F6BBF"/>
            <w:spacing w:val="1"/>
            <w:sz w:val="28"/>
            <w:szCs w:val="28"/>
          </w:rPr>
          <w:t xml:space="preserve"> </w:t>
        </w:r>
        <w:r w:rsidR="003014A8"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законодательства</w:t>
        </w:r>
      </w:hyperlink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17"/>
        </w:tabs>
        <w:autoSpaceDE w:val="0"/>
        <w:autoSpaceDN w:val="0"/>
        <w:spacing w:before="3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безопасности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ресурсов,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значимых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объектов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критической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инфраструктуры,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стимулирование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импортозамещения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программно-аппаратных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комплексов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защиты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199"/>
        </w:tabs>
        <w:autoSpaceDE w:val="0"/>
        <w:autoSpaceDN w:val="0"/>
        <w:spacing w:before="4" w:after="0" w:line="240" w:lineRule="auto"/>
        <w:ind w:left="100" w:right="319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культуры,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предполагающей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гражданами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решений.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3014A8" w:rsidP="003014A8">
      <w:pPr>
        <w:widowControl w:val="0"/>
        <w:autoSpaceDE w:val="0"/>
        <w:autoSpaceDN w:val="0"/>
        <w:spacing w:after="0" w:line="250" w:lineRule="exact"/>
        <w:ind w:right="626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1A7C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5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1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005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5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обеспечит преемственность основных целей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 в предыдущие годы, а также будет направлена на обеспечение поступления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="002F294A" w:rsidRPr="002F294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55271"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доходных</w:t>
      </w:r>
      <w:proofErr w:type="gramEnd"/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 запланированных объемах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 мобилизации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дополнительных доходов.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среднесрочной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перспективе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основываться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направлениях: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стабильных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предсказуемых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spacing w:before="1" w:after="0" w:line="240" w:lineRule="auto"/>
        <w:ind w:left="100" w:right="315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рассмотрение предложений по изменению </w:t>
      </w:r>
      <w:hyperlink r:id="rId13" w:history="1">
        <w:r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налогового законодательства</w:t>
        </w:r>
      </w:hyperlink>
      <w:r w:rsidRPr="003014A8">
        <w:rPr>
          <w:rFonts w:ascii="Times New Roman" w:eastAsia="Microsoft Sans Serif" w:hAnsi="Times New Roman" w:cs="Times New Roman"/>
          <w:color w:val="0F6BBF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 позиции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справедливой налоговой нагрузки, создания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равных условий, способствующих добросовестной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конкуренции, обеспечения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 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2F294A">
        <w:rPr>
          <w:rFonts w:ascii="Times New Roman" w:eastAsia="Microsoft Sans Serif" w:hAnsi="Times New Roman" w:cs="Times New Roman"/>
          <w:sz w:val="28"/>
          <w:szCs w:val="28"/>
        </w:rPr>
        <w:t xml:space="preserve"> 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spacing w:before="3" w:after="0" w:line="240" w:lineRule="auto"/>
        <w:ind w:left="100" w:right="320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государственная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поддержка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отраслей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экономики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бизнеса;</w:t>
      </w:r>
    </w:p>
    <w:p w:rsidR="003014A8" w:rsidRPr="00B42464" w:rsidRDefault="003014A8" w:rsidP="003014A8">
      <w:pPr>
        <w:widowControl w:val="0"/>
        <w:numPr>
          <w:ilvl w:val="0"/>
          <w:numId w:val="5"/>
        </w:numPr>
        <w:tabs>
          <w:tab w:val="left" w:pos="1166"/>
        </w:tabs>
        <w:autoSpaceDE w:val="0"/>
        <w:autoSpaceDN w:val="0"/>
        <w:spacing w:before="2" w:after="0" w:line="240" w:lineRule="auto"/>
        <w:ind w:left="100"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42464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2F294A" w:rsidRPr="00B42464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стимулирования</w:t>
      </w:r>
      <w:r w:rsidRPr="00B4246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деловой</w:t>
      </w:r>
      <w:r w:rsidRPr="00B4246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активности</w:t>
      </w:r>
      <w:r w:rsidRPr="00B4246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B4246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2F294A" w:rsidRPr="00B42464">
        <w:rPr>
          <w:rFonts w:ascii="Times New Roman" w:eastAsia="Microsoft Sans Serif" w:hAnsi="Times New Roman" w:cs="Times New Roman"/>
          <w:sz w:val="28"/>
          <w:szCs w:val="28"/>
        </w:rPr>
        <w:t>поселении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B4246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Pr="00B4246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инвестиций,</w:t>
      </w:r>
      <w:r w:rsidRPr="00B4246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B4246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инновационных</w:t>
      </w:r>
      <w:r w:rsidRPr="00B4246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B42464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уровня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главных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администраторов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прогнозирование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D69A3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и выполнение в полном объеме утвержденных годовых назначений 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2F294A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активизация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претензионно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>-исковой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52"/>
        </w:tabs>
        <w:autoSpaceDE w:val="0"/>
        <w:autoSpaceDN w:val="0"/>
        <w:spacing w:before="4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продолжение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обоснованности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 отмена неэффективных и невостребованных льгот. В 2025 - 2027 годах продолжится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проведению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оценки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2F294A" w:rsidRPr="002F294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отмене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неэффективных</w:t>
      </w:r>
      <w:r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будут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сохранены подходы к установлению налоговых льгот при условии положительной оценки их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эффективности.</w:t>
      </w:r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="002F294A" w:rsidRPr="002F294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2F294A">
        <w:rPr>
          <w:rFonts w:ascii="Times New Roman" w:hAnsi="Times New Roman" w:cs="Times New Roman"/>
          <w:b/>
          <w:color w:val="000000" w:themeColor="text1"/>
        </w:rPr>
        <w:t>Старочамзинского</w:t>
      </w:r>
      <w:proofErr w:type="spellEnd"/>
      <w:r w:rsidR="002F294A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</w:t>
      </w:r>
      <w:r w:rsidR="002F294A" w:rsidRPr="005646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на 2025 год и на плановый период 2026 и 2027 годов формируются 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 внесения и планируемых к принятию изменений в налоговую систему, основанных на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принципах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справедливости,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стабильности,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должны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учтены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интересы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государства.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Масштабная модернизация налоговой системы, проведенная на федеральном уровне,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себя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направления:</w:t>
      </w:r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налога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лиц: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пятиступенчатой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шкалы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зависимости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вида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полученного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периоде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(доходы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13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15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 до 20 млн. рублей - 18 процентов, от 20 до 50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 рублей - 20 процентов и от 50 млн. рублей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22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процента);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размеров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стандартных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вычетов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последующих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(за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2800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третьего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6000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рублей);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распространение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выполнивших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нормативы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испытаний (тестов) комплекса "Готов к труду и обороне" и прошедших диспансеризацию 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18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период;</w:t>
      </w:r>
    </w:p>
    <w:p w:rsidR="003014A8" w:rsidRPr="003014A8" w:rsidRDefault="008B52A1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которого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применяются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вычеты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350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рублей;</w:t>
      </w:r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ежегодной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работающим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родителям,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имеющим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двух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более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(семейная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выплата),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среднедушевого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семьи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превышает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1,5-кратную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прожиточного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минимума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 душу населения, установленную в субъекте Российской Федерации по месту жительства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(пребывания)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фактического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заявителя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целью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эффективной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 ставки для указанной категории в 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6 процентов;</w:t>
      </w:r>
      <w:proofErr w:type="gramEnd"/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(далее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УСН):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со 112,5 млн. рублей до 337,5 млн. рублей величины предельного 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целях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итогам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девяти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месяцев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года,</w:t>
      </w:r>
      <w:r w:rsidR="003014A8"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предшествующего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переходу;</w:t>
      </w:r>
    </w:p>
    <w:p w:rsidR="003014A8" w:rsidRPr="003014A8" w:rsidRDefault="008B52A1" w:rsidP="008B52A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средней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сотрудников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100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130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человек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без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возможности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превышения;</w:t>
      </w:r>
    </w:p>
    <w:p w:rsidR="008B52A1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pacing w:val="1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 млн. рублей до 450 млн. рублей с возможностью индексации на коэффициент-дефлятор;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порога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остаточной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стоимости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основных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150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возможностью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индексации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возможности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повышенных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8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нарушении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лимитов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численности;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обязанности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уплате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совокупных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доходах более 60 млн. рублей в год.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 этом налогоплательщику предоставляется выбор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 НДС в размере 20 процентов и право на вычет либо в размере 5 процентов без права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250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рублей)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7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права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 млн. рублей), до 1 января 2025 г. по общему правилу налогоплательщики на УСН не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признавались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плательщиками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окончание срока действия нормы о налоговых каникул (право субъектов Российской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начинающих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патентную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налогообложения, осуществляющих предпринимательскую деятельность в производственной,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(или)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научной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сферах,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бытовых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населению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предоставлению</w:t>
      </w:r>
      <w:r w:rsidR="003014A8"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временного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(действие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нормы</w:t>
      </w:r>
      <w:r w:rsidR="003014A8"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января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2025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г.).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 региональном уровне также проведена серьезная работа по настройке </w:t>
      </w:r>
      <w:hyperlink r:id="rId14" w:history="1">
        <w:r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налогового</w:t>
        </w:r>
      </w:hyperlink>
      <w:r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hyperlink r:id="rId15" w:history="1">
        <w:r w:rsidRPr="003014A8">
          <w:rPr>
            <w:rFonts w:ascii="Times New Roman" w:eastAsia="Microsoft Sans Serif" w:hAnsi="Times New Roman" w:cs="Times New Roman"/>
            <w:color w:val="0F6BBF"/>
            <w:sz w:val="28"/>
            <w:szCs w:val="28"/>
          </w:rPr>
          <w:t>законодательства</w:t>
        </w:r>
        <w:r w:rsidRPr="003014A8">
          <w:rPr>
            <w:rFonts w:ascii="Times New Roman" w:eastAsia="Microsoft Sans Serif" w:hAnsi="Times New Roman" w:cs="Times New Roman"/>
            <w:color w:val="0F6BBF"/>
            <w:spacing w:val="-10"/>
            <w:sz w:val="28"/>
            <w:szCs w:val="28"/>
          </w:rPr>
          <w:t xml:space="preserve"> </w:t>
        </w:r>
      </w:hyperlink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ряд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существенных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изменений,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которые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коснутся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непосредственно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8B52A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района:</w:t>
      </w:r>
    </w:p>
    <w:p w:rsidR="003014A8" w:rsidRPr="003014A8" w:rsidRDefault="003014A8" w:rsidP="003014A8">
      <w:pPr>
        <w:widowControl w:val="0"/>
        <w:numPr>
          <w:ilvl w:val="0"/>
          <w:numId w:val="9"/>
        </w:numPr>
        <w:tabs>
          <w:tab w:val="left" w:pos="1079"/>
        </w:tabs>
        <w:autoSpaceDE w:val="0"/>
        <w:autoSpaceDN w:val="0"/>
        <w:spacing w:before="3" w:after="0" w:line="240" w:lineRule="auto"/>
        <w:ind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предпринимательства,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увеличения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предпринимателей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республику предусмотрено продление периода действия максимально сниженных 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(1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налогообложения являются доходы;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5 процентов - в случае, если объектом налогообложения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уменьшенные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 предпринимателей, впервые зарегистрированных на территории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связи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переменой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нахождения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(места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жительства)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2026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включительно.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9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Кроме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того,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закрепления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республике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продлен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срок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указанных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пониженных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пяти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последовательных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периодов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 зарегистрированных в период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2022 - 2026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Дополнительно</w:t>
      </w:r>
      <w:r w:rsidRPr="003014A8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прорабатываются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вопросы: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установления ежегодной индексации размера потенциально возможного к получению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предпринимателями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патентной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Результатом проводимой налоговой политики в среднесрочной перспективе должны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стать рост налоговых и неналоговых поступлений, рост инвестиций, создание новых рабочих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следствие,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валового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продукта.</w:t>
      </w:r>
    </w:p>
    <w:p w:rsidR="00E5533C" w:rsidRPr="003014A8" w:rsidRDefault="00E5533C" w:rsidP="003014A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sectPr w:rsidR="00E5533C" w:rsidRPr="003014A8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1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4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1130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2058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976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894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4812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5730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6648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7566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8484" w:hanging="311"/>
      </w:pPr>
      <w:rPr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BF9"/>
    <w:rsid w:val="0005062A"/>
    <w:rsid w:val="00051756"/>
    <w:rsid w:val="00057938"/>
    <w:rsid w:val="000630CA"/>
    <w:rsid w:val="00094EF1"/>
    <w:rsid w:val="000C4952"/>
    <w:rsid w:val="000F3A35"/>
    <w:rsid w:val="00130ABF"/>
    <w:rsid w:val="001364F5"/>
    <w:rsid w:val="00146BEB"/>
    <w:rsid w:val="001471F6"/>
    <w:rsid w:val="00174FC0"/>
    <w:rsid w:val="00177784"/>
    <w:rsid w:val="001B64EE"/>
    <w:rsid w:val="001D4B9B"/>
    <w:rsid w:val="001D6486"/>
    <w:rsid w:val="001E2015"/>
    <w:rsid w:val="00223A47"/>
    <w:rsid w:val="0024017E"/>
    <w:rsid w:val="00255E2B"/>
    <w:rsid w:val="00280C2D"/>
    <w:rsid w:val="0029358F"/>
    <w:rsid w:val="002C70F2"/>
    <w:rsid w:val="002E2763"/>
    <w:rsid w:val="002E4B52"/>
    <w:rsid w:val="002F294A"/>
    <w:rsid w:val="003014A8"/>
    <w:rsid w:val="00313BE2"/>
    <w:rsid w:val="00320B8C"/>
    <w:rsid w:val="00332D10"/>
    <w:rsid w:val="003A1B5B"/>
    <w:rsid w:val="003D2F2C"/>
    <w:rsid w:val="003D35C1"/>
    <w:rsid w:val="00427B18"/>
    <w:rsid w:val="00433EA3"/>
    <w:rsid w:val="004B0526"/>
    <w:rsid w:val="004B268F"/>
    <w:rsid w:val="004C68C4"/>
    <w:rsid w:val="004D33A0"/>
    <w:rsid w:val="004F0ACE"/>
    <w:rsid w:val="004F432E"/>
    <w:rsid w:val="005475C3"/>
    <w:rsid w:val="00555271"/>
    <w:rsid w:val="0055558A"/>
    <w:rsid w:val="005646F1"/>
    <w:rsid w:val="00571519"/>
    <w:rsid w:val="00591E38"/>
    <w:rsid w:val="005F2670"/>
    <w:rsid w:val="005F732F"/>
    <w:rsid w:val="006471D8"/>
    <w:rsid w:val="0065545B"/>
    <w:rsid w:val="00680728"/>
    <w:rsid w:val="006A215E"/>
    <w:rsid w:val="006B2481"/>
    <w:rsid w:val="00721842"/>
    <w:rsid w:val="00754FD3"/>
    <w:rsid w:val="0076023A"/>
    <w:rsid w:val="007B3C82"/>
    <w:rsid w:val="007B5AAE"/>
    <w:rsid w:val="007D4134"/>
    <w:rsid w:val="007D696B"/>
    <w:rsid w:val="007F38BA"/>
    <w:rsid w:val="00834130"/>
    <w:rsid w:val="00842036"/>
    <w:rsid w:val="00876934"/>
    <w:rsid w:val="00895B9E"/>
    <w:rsid w:val="008A3133"/>
    <w:rsid w:val="008B52A1"/>
    <w:rsid w:val="008D364E"/>
    <w:rsid w:val="009207DE"/>
    <w:rsid w:val="00920B35"/>
    <w:rsid w:val="009211E8"/>
    <w:rsid w:val="00934F3A"/>
    <w:rsid w:val="00936F5E"/>
    <w:rsid w:val="009374CD"/>
    <w:rsid w:val="00941F88"/>
    <w:rsid w:val="009A4D91"/>
    <w:rsid w:val="009B6458"/>
    <w:rsid w:val="009C4623"/>
    <w:rsid w:val="009F1BC2"/>
    <w:rsid w:val="009F35E9"/>
    <w:rsid w:val="009F4B6A"/>
    <w:rsid w:val="00A96BF9"/>
    <w:rsid w:val="00AA099C"/>
    <w:rsid w:val="00AC3199"/>
    <w:rsid w:val="00AC5D82"/>
    <w:rsid w:val="00B24021"/>
    <w:rsid w:val="00B27B60"/>
    <w:rsid w:val="00B42464"/>
    <w:rsid w:val="00B627D6"/>
    <w:rsid w:val="00B71A7C"/>
    <w:rsid w:val="00BA59F6"/>
    <w:rsid w:val="00BC5B26"/>
    <w:rsid w:val="00BD6EAC"/>
    <w:rsid w:val="00C958B1"/>
    <w:rsid w:val="00CA36CB"/>
    <w:rsid w:val="00CB4040"/>
    <w:rsid w:val="00CE2D81"/>
    <w:rsid w:val="00D26285"/>
    <w:rsid w:val="00D45827"/>
    <w:rsid w:val="00D87F02"/>
    <w:rsid w:val="00DB33F1"/>
    <w:rsid w:val="00DD69A3"/>
    <w:rsid w:val="00DF4403"/>
    <w:rsid w:val="00E2258B"/>
    <w:rsid w:val="00E37B29"/>
    <w:rsid w:val="00E5533C"/>
    <w:rsid w:val="00E678F6"/>
    <w:rsid w:val="00E80889"/>
    <w:rsid w:val="00E84108"/>
    <w:rsid w:val="00E90BEE"/>
    <w:rsid w:val="00E95EB8"/>
    <w:rsid w:val="00EB0940"/>
    <w:rsid w:val="00EE24B7"/>
    <w:rsid w:val="00EF4CD8"/>
    <w:rsid w:val="00F01167"/>
    <w:rsid w:val="00F02D50"/>
    <w:rsid w:val="00F12561"/>
    <w:rsid w:val="00F12AE9"/>
    <w:rsid w:val="00F625F3"/>
    <w:rsid w:val="00F71181"/>
    <w:rsid w:val="00F73592"/>
    <w:rsid w:val="00F90D45"/>
    <w:rsid w:val="00FC100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1">
    <w:name w:val="heading 1"/>
    <w:basedOn w:val="a"/>
    <w:next w:val="a"/>
    <w:link w:val="10"/>
    <w:uiPriority w:val="1"/>
    <w:qFormat/>
    <w:rsid w:val="00564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1"/>
    <w:rsid w:val="00564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14A8"/>
  </w:style>
  <w:style w:type="paragraph" w:styleId="a8">
    <w:name w:val="Body Text"/>
    <w:basedOn w:val="a"/>
    <w:link w:val="a9"/>
    <w:uiPriority w:val="1"/>
    <w:semiHidden/>
    <w:unhideWhenUsed/>
    <w:qFormat/>
    <w:rsid w:val="003014A8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3014A8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3014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301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3014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s://internet.garant.ru/document/redirect/10900200/200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200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8916657/11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900200/20001" TargetMode="External"/><Relationship Id="rId10" Type="http://schemas.openxmlformats.org/officeDocument/2006/relationships/hyperlink" Target="https://internet.garant.ru/document/redirect/8916657/4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8E10-FD28-4368-A1D3-632862C5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38</cp:revision>
  <cp:lastPrinted>2024-10-14T11:29:00Z</cp:lastPrinted>
  <dcterms:created xsi:type="dcterms:W3CDTF">2020-11-12T06:52:00Z</dcterms:created>
  <dcterms:modified xsi:type="dcterms:W3CDTF">2024-11-01T05:56:00Z</dcterms:modified>
</cp:coreProperties>
</file>