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34" w:rsidRDefault="00D03734" w:rsidP="00D03734">
      <w:pPr>
        <w:pStyle w:val="a3"/>
        <w:spacing w:before="0" w:beforeAutospacing="0" w:after="0" w:afterAutospacing="0"/>
        <w:ind w:firstLine="709"/>
        <w:jc w:val="center"/>
        <w:rPr>
          <w:b/>
          <w:bCs/>
          <w:color w:val="000000"/>
          <w:sz w:val="28"/>
          <w:szCs w:val="28"/>
        </w:rPr>
      </w:pPr>
      <w:r w:rsidRPr="00D03734">
        <w:rPr>
          <w:b/>
          <w:bCs/>
          <w:color w:val="000000"/>
          <w:sz w:val="28"/>
          <w:szCs w:val="28"/>
        </w:rPr>
        <w:t>Об ответственности несовершеннолетних за курение электронных сигарет</w:t>
      </w:r>
    </w:p>
    <w:p w:rsidR="00D03734" w:rsidRPr="00D03734" w:rsidRDefault="00D03734" w:rsidP="00D03734">
      <w:pPr>
        <w:pStyle w:val="a3"/>
        <w:spacing w:before="0" w:beforeAutospacing="0" w:after="0" w:afterAutospacing="0"/>
        <w:ind w:firstLine="709"/>
        <w:jc w:val="center"/>
        <w:rPr>
          <w:color w:val="000000"/>
          <w:sz w:val="28"/>
          <w:szCs w:val="28"/>
        </w:rPr>
      </w:pP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 настоящее время среди несовершеннолетн</w:t>
      </w:r>
      <w:r>
        <w:rPr>
          <w:color w:val="000000"/>
          <w:sz w:val="28"/>
          <w:szCs w:val="28"/>
        </w:rPr>
        <w:t>их набирает популярность курение</w:t>
      </w:r>
      <w:r w:rsidRPr="00D03734">
        <w:rPr>
          <w:color w:val="000000"/>
          <w:sz w:val="28"/>
          <w:szCs w:val="28"/>
        </w:rPr>
        <w:t xml:space="preserve"> электронных сигарет.</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 xml:space="preserve">Статьей 12 Федерального закона «Об охране здоровья граждан от воздействия окружающего табачного дыма и последствий потребления табака» установлен запрет курения табака, потребление </w:t>
      </w:r>
      <w:proofErr w:type="spellStart"/>
      <w:r w:rsidRPr="00D03734">
        <w:rPr>
          <w:color w:val="000000"/>
          <w:sz w:val="28"/>
          <w:szCs w:val="28"/>
        </w:rPr>
        <w:t>никотинсодержащей</w:t>
      </w:r>
      <w:proofErr w:type="spellEnd"/>
      <w:r w:rsidRPr="00D03734">
        <w:rPr>
          <w:color w:val="000000"/>
          <w:sz w:val="28"/>
          <w:szCs w:val="28"/>
        </w:rPr>
        <w:t xml:space="preserve"> продукции или использование кальянов на отдельных территориях, в помещениях и на объектах.</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Статья 6.24 КоАП РФ предусматривает ответственность граждан, достигших шестнадцатилетнего возраста, за нарушение вышеуказанного запрета. В соответствии с частью первой данной статьи граждане могут быть привлечены к административной ответственности в виде штрафа в сумме от пятисот до одной тысячи пятисот рублей.</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 смыслу действующего законодательства курение электронных сигарет, систем нагревания табака, а также кальянов в общественных местах в настоящее время приравнено к курению сигарет.</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Таким образом, законодателем запрещено курить на территории и помещения школ, учреждений культуры и спорта; больниц; в поездах дальнего следования, судах, находящихся в дальнем плавании, на воздушных судах, всех видах общественного транспорта; в гостиницах; торговых центрах; помещениях, занятых органами государственной власти, органами местного самоуправления; лифтах и помещениях общего пользования многоквартирных домов; на детских площадках, пляжах и других общественных местах.</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За нарушение указанного запрета подростки могут быть привлечены к административной ответственности по ст. 6.24 КоАП РФ, а их родители по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за совершение которого предусмотрено наказание в виде предупреждения или штрафа в размере от ста до пятисот рублей.</w:t>
      </w:r>
    </w:p>
    <w:p w:rsidR="00D03734" w:rsidRPr="00D03734" w:rsidRDefault="00D03734" w:rsidP="00D03734">
      <w:pPr>
        <w:ind w:firstLine="709"/>
        <w:jc w:val="both"/>
        <w:rPr>
          <w:rFonts w:ascii="Times New Roman" w:hAnsi="Times New Roman" w:cs="Times New Roman"/>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P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40" w:lineRule="auto"/>
        <w:ind w:firstLine="709"/>
        <w:jc w:val="center"/>
        <w:rPr>
          <w:rFonts w:ascii="Times New Roman" w:eastAsia="Times New Roman" w:hAnsi="Times New Roman" w:cs="Times New Roman"/>
          <w:b/>
          <w:color w:val="000000"/>
          <w:sz w:val="28"/>
          <w:szCs w:val="28"/>
        </w:rPr>
      </w:pPr>
      <w:r w:rsidRPr="00D03734">
        <w:rPr>
          <w:rFonts w:ascii="Times New Roman" w:eastAsia="Times New Roman" w:hAnsi="Times New Roman" w:cs="Times New Roman"/>
          <w:b/>
          <w:color w:val="000000"/>
          <w:sz w:val="28"/>
          <w:szCs w:val="28"/>
        </w:rPr>
        <w:lastRenderedPageBreak/>
        <w:t>Об ответственности за распространение материалов экстремист</w:t>
      </w:r>
      <w:r>
        <w:rPr>
          <w:rFonts w:ascii="Times New Roman" w:eastAsia="Times New Roman" w:hAnsi="Times New Roman" w:cs="Times New Roman"/>
          <w:b/>
          <w:color w:val="000000"/>
          <w:sz w:val="28"/>
          <w:szCs w:val="28"/>
        </w:rPr>
        <w:t>с</w:t>
      </w:r>
      <w:r w:rsidRPr="00D03734">
        <w:rPr>
          <w:rFonts w:ascii="Times New Roman" w:eastAsia="Times New Roman" w:hAnsi="Times New Roman" w:cs="Times New Roman"/>
          <w:b/>
          <w:color w:val="000000"/>
          <w:sz w:val="28"/>
          <w:szCs w:val="28"/>
        </w:rPr>
        <w:t>кого характера</w:t>
      </w:r>
    </w:p>
    <w:p w:rsidR="00D03734" w:rsidRPr="00D03734" w:rsidRDefault="00D03734" w:rsidP="00D03734">
      <w:pPr>
        <w:spacing w:after="0" w:line="240" w:lineRule="auto"/>
        <w:ind w:firstLine="709"/>
        <w:jc w:val="center"/>
        <w:rPr>
          <w:rFonts w:ascii="Times New Roman" w:eastAsia="Times New Roman" w:hAnsi="Times New Roman" w:cs="Times New Roman"/>
          <w:b/>
          <w:color w:val="000000"/>
          <w:sz w:val="28"/>
          <w:szCs w:val="28"/>
        </w:rPr>
      </w:pPr>
    </w:p>
    <w:p w:rsidR="00D03734" w:rsidRPr="00D03734" w:rsidRDefault="00D03734" w:rsidP="00D03734">
      <w:pPr>
        <w:spacing w:after="0" w:line="240" w:lineRule="auto"/>
        <w:ind w:firstLine="709"/>
        <w:jc w:val="both"/>
        <w:rPr>
          <w:rFonts w:ascii="Times New Roman" w:eastAsia="Times New Roman" w:hAnsi="Times New Roman" w:cs="Times New Roman"/>
          <w:color w:val="000000"/>
          <w:sz w:val="28"/>
          <w:szCs w:val="28"/>
        </w:rPr>
      </w:pPr>
      <w:r w:rsidRPr="00D03734">
        <w:rPr>
          <w:rFonts w:ascii="Times New Roman" w:eastAsia="Times New Roman" w:hAnsi="Times New Roman" w:cs="Times New Roman"/>
          <w:color w:val="000000"/>
          <w:sz w:val="28"/>
          <w:szCs w:val="28"/>
        </w:rPr>
        <w:t>Согласно действующему законодательству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D03734" w:rsidRPr="00D03734" w:rsidRDefault="00D03734" w:rsidP="00D03734">
      <w:pPr>
        <w:spacing w:after="0" w:line="240" w:lineRule="auto"/>
        <w:ind w:firstLine="709"/>
        <w:jc w:val="both"/>
        <w:rPr>
          <w:rFonts w:ascii="Times New Roman" w:eastAsia="Times New Roman" w:hAnsi="Times New Roman" w:cs="Times New Roman"/>
          <w:color w:val="000000"/>
          <w:sz w:val="28"/>
          <w:szCs w:val="28"/>
        </w:rPr>
      </w:pPr>
      <w:r w:rsidRPr="00D03734">
        <w:rPr>
          <w:rFonts w:ascii="Times New Roman" w:eastAsia="Times New Roman" w:hAnsi="Times New Roman" w:cs="Times New Roman"/>
          <w:color w:val="000000"/>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D03734" w:rsidRPr="00D03734" w:rsidRDefault="00D03734" w:rsidP="00D03734">
      <w:pPr>
        <w:spacing w:after="0" w:line="240" w:lineRule="auto"/>
        <w:ind w:firstLine="709"/>
        <w:jc w:val="both"/>
        <w:rPr>
          <w:rFonts w:ascii="Times New Roman" w:eastAsia="Times New Roman" w:hAnsi="Times New Roman" w:cs="Times New Roman"/>
          <w:color w:val="000000"/>
          <w:sz w:val="28"/>
          <w:szCs w:val="28"/>
        </w:rPr>
      </w:pPr>
      <w:r w:rsidRPr="00D03734">
        <w:rPr>
          <w:rFonts w:ascii="Times New Roman" w:eastAsia="Times New Roman" w:hAnsi="Times New Roman" w:cs="Times New Roman"/>
          <w:color w:val="000000"/>
          <w:sz w:val="28"/>
          <w:szCs w:val="28"/>
        </w:rPr>
        <w:t>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административная ответственность по статье 20.29 Кодекса Российской Федерации об административных правонарушениях. Указанное правонарушение влечет за собой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D03734" w:rsidRPr="00D03734" w:rsidRDefault="00D03734" w:rsidP="00D03734">
      <w:pPr>
        <w:spacing w:after="0" w:line="240" w:lineRule="auto"/>
        <w:ind w:firstLine="709"/>
        <w:jc w:val="both"/>
        <w:rPr>
          <w:rFonts w:ascii="Times New Roman" w:eastAsia="Times New Roman" w:hAnsi="Times New Roman" w:cs="Times New Roman"/>
          <w:color w:val="000000"/>
          <w:sz w:val="28"/>
          <w:szCs w:val="28"/>
        </w:rPr>
      </w:pPr>
      <w:r w:rsidRPr="00D03734">
        <w:rPr>
          <w:rFonts w:ascii="Times New Roman" w:eastAsia="Times New Roman" w:hAnsi="Times New Roman" w:cs="Times New Roman"/>
          <w:color w:val="000000"/>
          <w:sz w:val="28"/>
          <w:szCs w:val="28"/>
        </w:rPr>
        <w:t>Полномочия по составлению протоколов об административных правонарушениях по статье 20.29 Кодекса Российской Федерации об административных правонарушениях возложены на должностных лиц органов внутренних дела (полиции).</w:t>
      </w:r>
    </w:p>
    <w:p w:rsidR="00D03734" w:rsidRPr="00D03734" w:rsidRDefault="00D03734" w:rsidP="00D03734">
      <w:pPr>
        <w:ind w:firstLine="709"/>
        <w:jc w:val="both"/>
        <w:rPr>
          <w:rFonts w:ascii="Times New Roman" w:hAnsi="Times New Roman" w:cs="Times New Roman"/>
          <w:sz w:val="28"/>
          <w:szCs w:val="28"/>
        </w:rPr>
      </w:pPr>
    </w:p>
    <w:p w:rsidR="00D03734" w:rsidRDefault="00D03734" w:rsidP="00D03734">
      <w:pPr>
        <w:ind w:firstLine="709"/>
        <w:jc w:val="both"/>
        <w:rPr>
          <w:rFonts w:ascii="Times New Roman" w:hAnsi="Times New Roman" w:cs="Times New Roman"/>
          <w:sz w:val="28"/>
          <w:szCs w:val="28"/>
        </w:rPr>
      </w:pPr>
    </w:p>
    <w:p w:rsidR="00D03734" w:rsidRDefault="00D03734" w:rsidP="00D03734">
      <w:pPr>
        <w:ind w:firstLine="709"/>
        <w:jc w:val="both"/>
        <w:rPr>
          <w:rFonts w:ascii="Times New Roman" w:hAnsi="Times New Roman" w:cs="Times New Roman"/>
          <w:sz w:val="28"/>
          <w:szCs w:val="28"/>
        </w:rPr>
      </w:pPr>
    </w:p>
    <w:p w:rsidR="00D03734" w:rsidRDefault="00D03734" w:rsidP="00D03734">
      <w:pPr>
        <w:ind w:firstLine="709"/>
        <w:jc w:val="both"/>
        <w:rPr>
          <w:rFonts w:ascii="Times New Roman" w:hAnsi="Times New Roman" w:cs="Times New Roman"/>
          <w:sz w:val="28"/>
          <w:szCs w:val="28"/>
        </w:rPr>
      </w:pPr>
    </w:p>
    <w:p w:rsidR="00D03734" w:rsidRDefault="00D03734" w:rsidP="00D03734">
      <w:pPr>
        <w:ind w:firstLine="709"/>
        <w:jc w:val="both"/>
        <w:rPr>
          <w:rFonts w:ascii="Times New Roman" w:hAnsi="Times New Roman" w:cs="Times New Roman"/>
          <w:sz w:val="28"/>
          <w:szCs w:val="28"/>
        </w:rPr>
      </w:pPr>
    </w:p>
    <w:p w:rsidR="00D03734" w:rsidRPr="00D03734" w:rsidRDefault="00D03734" w:rsidP="00D03734">
      <w:pPr>
        <w:ind w:firstLine="709"/>
        <w:jc w:val="both"/>
        <w:rPr>
          <w:rFonts w:ascii="Times New Roman" w:hAnsi="Times New Roman" w:cs="Times New Roman"/>
          <w:sz w:val="28"/>
          <w:szCs w:val="28"/>
        </w:rPr>
      </w:pPr>
    </w:p>
    <w:p w:rsidR="00D03734" w:rsidRDefault="00D03734" w:rsidP="00D03734">
      <w:pPr>
        <w:pStyle w:val="a3"/>
        <w:spacing w:before="0" w:beforeAutospacing="0" w:after="0" w:afterAutospacing="0"/>
        <w:ind w:firstLine="709"/>
        <w:jc w:val="center"/>
        <w:rPr>
          <w:b/>
          <w:color w:val="000000"/>
          <w:sz w:val="28"/>
          <w:szCs w:val="28"/>
        </w:rPr>
      </w:pPr>
      <w:r w:rsidRPr="00D03734">
        <w:rPr>
          <w:b/>
          <w:color w:val="000000"/>
          <w:sz w:val="28"/>
          <w:szCs w:val="28"/>
        </w:rPr>
        <w:lastRenderedPageBreak/>
        <w:t>Об уголовной ответственности за незаконные действия со средствами материнского (семейного) капитала</w:t>
      </w:r>
    </w:p>
    <w:p w:rsidR="00D03734" w:rsidRPr="00D03734" w:rsidRDefault="00D03734" w:rsidP="00D03734">
      <w:pPr>
        <w:pStyle w:val="a3"/>
        <w:spacing w:before="0" w:beforeAutospacing="0" w:after="0" w:afterAutospacing="0"/>
        <w:ind w:firstLine="709"/>
        <w:jc w:val="center"/>
        <w:rPr>
          <w:b/>
          <w:color w:val="000000"/>
          <w:sz w:val="28"/>
          <w:szCs w:val="28"/>
        </w:rPr>
      </w:pP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Материнский капитал – одна из самых распространенных мер государственной поддержки семьи и материнства.</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Федеральным законом «О дополнительных мерах государственной поддержки семей, имеющих детей» предусмотрены способы использования средств материнского (семейного) капитала и их строго целевое назначение.</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Любые способы, позволяющие «обналичить» средства материнского (семейного) капитала, незаконны и преследуются уголовным законом.</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 этой связи, ст. 159.2 Уголовного кодекса РФ предусматривает уголовную ответственность за мошенничество при получении выплат,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К примеру, направление средств материнского капитала на приобретение непригодного для проживания жилого помещения не соответствует целевому назначению этих средств и не способствует созданию детям надлежащих условий, обеспечивающих их достойную жизнь, что влечет предусмотренную ответственность по ст. 159.2 УК РФ, а также является основанием для взыскания с «мошенника» денежных средств материнского (семейного) капитала в пользу Пенсионного фонда РФ.</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Распространенной схемой мошенничества со средствами материнского капитала являются получение материнского капитала лицами, не имеющими на это законных прав (подделка свидетельства о рождении ребенка); сообщение заведомо ложных сведений о себе и своей семье при подаче заявления в Пенсионный фонд РФ, либо сокрытие информации, которая запрещает получение материнского капитала; приобретение недвижимого имущества под видом жилого помещения, а также предоставление недостоверных, подложных документов при оформлении материнского капитала.</w:t>
      </w: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center"/>
        <w:rPr>
          <w:b/>
          <w:color w:val="000000"/>
          <w:sz w:val="28"/>
          <w:szCs w:val="28"/>
        </w:rPr>
      </w:pPr>
      <w:r w:rsidRPr="00D03734">
        <w:rPr>
          <w:b/>
          <w:color w:val="000000"/>
          <w:sz w:val="28"/>
          <w:szCs w:val="28"/>
        </w:rPr>
        <w:lastRenderedPageBreak/>
        <w:t>Основания привлечения работников к работе в выходные и праздничные дни</w:t>
      </w:r>
    </w:p>
    <w:p w:rsidR="00D03734" w:rsidRPr="00D03734" w:rsidRDefault="00D03734" w:rsidP="00D03734">
      <w:pPr>
        <w:pStyle w:val="a3"/>
        <w:spacing w:before="0" w:beforeAutospacing="0" w:after="0" w:afterAutospacing="0"/>
        <w:ind w:firstLine="709"/>
        <w:jc w:val="center"/>
        <w:rPr>
          <w:b/>
          <w:color w:val="000000"/>
          <w:sz w:val="28"/>
          <w:szCs w:val="28"/>
        </w:rPr>
      </w:pPr>
    </w:p>
    <w:p w:rsidR="00D03734" w:rsidRPr="00D03734" w:rsidRDefault="00D03734" w:rsidP="00D03734">
      <w:pPr>
        <w:pStyle w:val="a3"/>
        <w:spacing w:before="0" w:beforeAutospacing="0" w:after="0" w:afterAutospacing="0"/>
        <w:ind w:firstLine="709"/>
        <w:jc w:val="both"/>
        <w:rPr>
          <w:color w:val="000000"/>
          <w:sz w:val="28"/>
          <w:szCs w:val="28"/>
        </w:rPr>
      </w:pPr>
      <w:r w:rsidRPr="00D03734">
        <w:rPr>
          <w:sz w:val="28"/>
          <w:szCs w:val="28"/>
        </w:rPr>
        <w:t>Согласно ст.113 Трудового кодекса Российской Федерации работа в выходные и нерабочие праздничные дни запрещается, за исключением </w:t>
      </w:r>
      <w:hyperlink r:id="rId4" w:anchor="dst100045" w:history="1">
        <w:r w:rsidRPr="00D03734">
          <w:rPr>
            <w:rStyle w:val="a4"/>
            <w:color w:val="auto"/>
            <w:sz w:val="28"/>
            <w:szCs w:val="28"/>
            <w:u w:val="none"/>
          </w:rPr>
          <w:t>случаев</w:t>
        </w:r>
      </w:hyperlink>
      <w:r w:rsidRPr="00D03734">
        <w:rPr>
          <w:sz w:val="28"/>
          <w:szCs w:val="28"/>
        </w:rPr>
        <w:t xml:space="preserve">, предусмотренных Трудовым Кодексом Российской Федерации.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 Привлечение </w:t>
      </w:r>
      <w:r w:rsidRPr="00D03734">
        <w:rPr>
          <w:color w:val="000000"/>
          <w:sz w:val="28"/>
          <w:szCs w:val="28"/>
        </w:rPr>
        <w:t>работников к работе в выходные и нерабочие праздничные дни производится по письменному распоряжению работодателя.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Привлечение работников к работе в выходные и нерабочие праздничные дни без их согласия допускается в следующих случаях:</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 w:anchor="dst100009" w:history="1">
        <w:r w:rsidRPr="00D03734">
          <w:rPr>
            <w:rStyle w:val="a4"/>
            <w:color w:val="454545"/>
            <w:sz w:val="28"/>
            <w:szCs w:val="28"/>
          </w:rPr>
          <w:t>порядке</w:t>
        </w:r>
      </w:hyperlink>
      <w:r w:rsidRPr="00D03734">
        <w:rPr>
          <w:color w:val="000000"/>
          <w:sz w:val="28"/>
          <w:szCs w:val="28"/>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a3"/>
        <w:spacing w:before="0" w:beforeAutospacing="0" w:after="0" w:afterAutospacing="0"/>
        <w:ind w:firstLine="709"/>
        <w:jc w:val="center"/>
        <w:rPr>
          <w:b/>
          <w:color w:val="000000"/>
          <w:sz w:val="28"/>
          <w:szCs w:val="28"/>
        </w:rPr>
      </w:pPr>
      <w:r w:rsidRPr="00D03734">
        <w:rPr>
          <w:b/>
          <w:color w:val="000000"/>
          <w:sz w:val="28"/>
          <w:szCs w:val="28"/>
        </w:rPr>
        <w:t>Права инвалидов на санаторно-курортное лечение</w:t>
      </w:r>
    </w:p>
    <w:p w:rsidR="00D03734" w:rsidRPr="00D03734" w:rsidRDefault="00D03734" w:rsidP="00D03734">
      <w:pPr>
        <w:pStyle w:val="a3"/>
        <w:spacing w:before="0" w:beforeAutospacing="0" w:after="0" w:afterAutospacing="0"/>
        <w:ind w:firstLine="709"/>
        <w:jc w:val="center"/>
        <w:rPr>
          <w:b/>
          <w:color w:val="000000"/>
          <w:sz w:val="28"/>
          <w:szCs w:val="28"/>
        </w:rPr>
      </w:pP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Федеральным законом от 17.07.1999 № 178-ФЗ «О государственной социальной помощи» определен набор социальных услуг, предоставляемый отдельным категориям граждан, в том числе инвалидам, детям-инвалидам и инвалидам войны.</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Такие граждане имеют право на предоставление им государством социальных услуг в виде обеспечения в соответствии со стандартами медицинской помощи лекарственными препаратами и медицинскими изделиями по рецептам, а также специализированными продуктами лечебного питания для детей-инвалидов.</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Помимо прочего, указанная категория граждан имеет право на предоставление при наличии на то медицинских показаний путевки на санаторно-курортное лечение в организациях, с которыми государством заключены контракты, с оплатой проезда лица к месту лечения и обратно.</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Кроме того, граждане, имеющие 1 группу инвалидности, и дети-инвалиды имеют право на тех же условиях получить вторую путевку на санаторно-курортное лечение и на бесплатный проезд к месту лечения для сопровождающих их лиц.</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Важно отметить, что такая путевка выдается при отсутствии противопоказаний у лица, имеющего права на ее предоставление.</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Для получения путевки граждане указанной категории должны обратиться в медицинскую организацию к лечащему врачу для оформления направления на врачебную комиссию.</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 результатам комиссионного изучения медицинской документации и состояния здоровья гражданина ему выдается заключение о показании либо противопоказании санаторно-курортного лечения.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На основании данного заключения при отсутствии противопоказаний лечащий врач выдает справку с рекомендацией на лечение, срок действия которой составляет 6 месяцев.</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После получения необходимых медицинских документов лицо вправе обратиться с заявлением на предоставление путевки в территориальный орган Федерального фонда социального страхования (далее – ФСС) либо в уполномоченный на оказание мер социальной поддержки орган, приложив полученные справки врача.</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Заявление можно подать также через многофункциональные центры (МФЦ), направить по почте в ФСС или в электронной форме через личный кабинет Единого портала государственных услуг.</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 результатам рассмотрения заявления территориальный орган ФСС в порядке очереди (без права на льготное получение вне очереди) выдает путевку на санаторно-курортное лечение, но не позднее 18 дней до даты заезда (для детей-инвалидов и инвалидов с травмами спинного и головного мозга не позднее 21 дня).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lastRenderedPageBreak/>
        <w:t>Также заявителю предоставляются специальные талоны на право бесплатного получения проездных документов в поезде дальнего следования или направление на бесплатное приобретение билетов на авиационный, автомобильный и водный транспорт. Такие талоны выдаются на каждый необходимый вид транспорта.</w:t>
      </w: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bookmarkStart w:id="0" w:name="_GoBack"/>
      <w:r w:rsidRPr="00D03734">
        <w:rPr>
          <w:b/>
          <w:bCs/>
          <w:color w:val="000000"/>
          <w:sz w:val="28"/>
          <w:szCs w:val="28"/>
        </w:rPr>
        <w:lastRenderedPageBreak/>
        <w:t>Граждане и юридические лица имеют право на получение информации о деятельности органов государственной власти и местного самоуправления</w:t>
      </w:r>
    </w:p>
    <w:bookmarkEnd w:id="0"/>
    <w:p w:rsidR="00D03734" w:rsidRPr="00D03734" w:rsidRDefault="00D03734" w:rsidP="00D03734">
      <w:pPr>
        <w:pStyle w:val="a3"/>
        <w:spacing w:before="0" w:beforeAutospacing="0" w:after="0" w:afterAutospacing="0"/>
        <w:ind w:firstLine="709"/>
        <w:jc w:val="center"/>
        <w:rPr>
          <w:color w:val="000000"/>
          <w:sz w:val="28"/>
          <w:szCs w:val="28"/>
        </w:rPr>
      </w:pP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любой желающий может получить информацию о деятельности органов государственной власти и местного самоуправления.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Доступ к информации обеспечивается различными способами, в том числе путем:</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1) обнародования (опубликования) информации в средствах массовой информации;</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2) размещения информации в сети «Интернет»;</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3) размещения информации в помещениях, занимаемых указанными органами;</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4) предоставления информации по запросу пользователей.</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Подробная информация о работе органов государственной власти и местного самоуправления в обязательном порядке размещается на их официальных сайтах в сети «Интернет».</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Вместе с тем, любой желающий, в том числе и через полномочного представителя, может обратиться устно либо письменно непосредственно в тот орган власти, информацию о котором намерен получить.</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 письменном запросе в обязательном порядке необходимо указать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фамилию, имя и отчество гражданина (физического лица) либо наименование организации (юридического лица), запрашивающих информацию, равно как и наименование государственного органа или органа местного самоуправления, в которые направляется запрос, либо фамилию и инициалы или должность соответствующего должностного лица. Анонимные запросы не рассматриваются.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Запрос подлежит рассмотрению в тридцатидневный срок со дня его регистрации.</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Федеральным законом предусмотрены основания, исключающие возможность предоставления информации.</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За неправомерный отказ в предоставлении гражданину и (или) организации информации, несвоевременное ее предоставление либо предоставление заведомо недостоверной информации установлена административная ответственность в соответствии со ст. 5.39 КоАП РФ.</w:t>
      </w:r>
    </w:p>
    <w:p w:rsidR="00323665" w:rsidRDefault="00D03734"/>
    <w:sectPr w:rsidR="00323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1F"/>
    <w:rsid w:val="00652EC0"/>
    <w:rsid w:val="00A51C1F"/>
    <w:rsid w:val="00D03734"/>
    <w:rsid w:val="00E0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BF0A"/>
  <w15:chartTrackingRefBased/>
  <w15:docId w15:val="{FD40A195-C1D6-463B-AEC8-558571AE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734"/>
    <w:pPr>
      <w:spacing w:after="200" w:line="276" w:lineRule="auto"/>
    </w:pPr>
    <w:rPr>
      <w:rFonts w:eastAsiaTheme="minorEastAsia"/>
      <w:lang w:eastAsia="ru-RU"/>
    </w:rPr>
  </w:style>
  <w:style w:type="paragraph" w:styleId="3">
    <w:name w:val="heading 3"/>
    <w:basedOn w:val="a"/>
    <w:link w:val="30"/>
    <w:uiPriority w:val="9"/>
    <w:qFormat/>
    <w:rsid w:val="00D037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37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37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3734"/>
    <w:rPr>
      <w:color w:val="0000FF"/>
      <w:u w:val="single"/>
    </w:rPr>
  </w:style>
  <w:style w:type="paragraph" w:styleId="a5">
    <w:name w:val="Balloon Text"/>
    <w:basedOn w:val="a"/>
    <w:link w:val="a6"/>
    <w:uiPriority w:val="99"/>
    <w:semiHidden/>
    <w:unhideWhenUsed/>
    <w:rsid w:val="00D037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373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30508/" TargetMode="External"/><Relationship Id="rId4" Type="http://schemas.openxmlformats.org/officeDocument/2006/relationships/hyperlink" Target="http://www.consultant.ru/document/cons_doc_LAW_165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Воронкова Диана Владиславовна</dc:creator>
  <cp:keywords/>
  <dc:description/>
  <cp:lastModifiedBy>Воронкова Диана Владиславовна</cp:lastModifiedBy>
  <cp:revision>3</cp:revision>
  <cp:lastPrinted>2023-02-03T13:19:00Z</cp:lastPrinted>
  <dcterms:created xsi:type="dcterms:W3CDTF">2023-02-03T13:11:00Z</dcterms:created>
  <dcterms:modified xsi:type="dcterms:W3CDTF">2023-02-03T13:19:00Z</dcterms:modified>
</cp:coreProperties>
</file>